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Материалы к аттестации.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5"/>
        <w:snapToGrid w:val="0"/>
        <w:spacing w:line="200" w:lineRule="atLeas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 Форм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аттестации – письменный зачет</w:t>
      </w:r>
    </w:p>
    <w:p>
      <w:pPr>
        <w:keepNext/>
        <w:widowControl w:val="0"/>
        <w:tabs>
          <w:tab w:val="left" w:pos="420"/>
        </w:tabs>
        <w:spacing w:line="200" w:lineRule="atLeast"/>
        <w:jc w:val="center"/>
        <w:rPr>
          <w:rFonts w:hint="default" w:ascii="Times New Roman" w:hAnsi="Times New Roman" w:eastAsia="Times New Roman CYR" w:cs="Times New Roman"/>
          <w:color w:val="000000"/>
          <w:sz w:val="28"/>
          <w:szCs w:val="28"/>
        </w:rPr>
      </w:pPr>
    </w:p>
    <w:p>
      <w:pPr>
        <w:keepNext/>
        <w:widowControl w:val="0"/>
        <w:tabs>
          <w:tab w:val="left" w:pos="420"/>
        </w:tabs>
        <w:spacing w:line="20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 CYR" w:cs="Times New Roman"/>
          <w:color w:val="000000"/>
          <w:sz w:val="28"/>
          <w:szCs w:val="28"/>
        </w:rPr>
        <w:t>Вопросы к зачету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</w:p>
    <w:p>
      <w:pPr>
        <w:keepNext/>
        <w:widowControl w:val="0"/>
        <w:tabs>
          <w:tab w:val="left" w:pos="420"/>
        </w:tabs>
        <w:spacing w:line="200" w:lineRule="atLeas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Параметры состояния рабочего тела.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Законы идеальных газов.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Влажный воздух; параметры состояния влажного воздуха.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Виды теплообмена.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Теплопроводность: закон Фурье.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Конвективный теплообмен; закон Ньютона-Рихмана.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Теплообмен излучением; основные понятия.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лучистого теплообмена и излучения поверхностей в помещении.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Радиационная температура; условия комфортности.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Стационарная теплопередача.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Определение сопротивления теплопередаче ограждений, состоящих из неоднородных материалов.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Графическое и аналитическое определение температур в многослойном ограждении.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Теплозащитные свойства ограждений.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Виды влаги; влажностной режим помещения.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Расчет влажностного режима строительных ограждающих конструкций с помощью метода безразмерных характеристик.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Звукоизоляция. Основные понятия. Чистота звука. Звуковое давление. Звуковая мощность.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Виды передачи звука. Воздушный, корпусной и ударный шум.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Акустика помещений. Основные понятия. Время реверберации. 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Прохождение звука через строительные конструкции. Отражение звука. Звукопоглощение и звукопередача.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Виды звукопоглотителей. Резонансные и пористые поглотители. 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Нормативные требования к звукоизоляции ограждающих конструкций. 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Определение индекса изоляции воздушного шума.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Определение индекса приведенного уровня ударного шума.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Определение звукоизоляции наружных ограждений.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Расчет звукоизоляции внутренних ограждающих конструкций зданий.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понятия строительной светотехники.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Естественное освещение зданий. Основные законы.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Нормативные требования для естественного освещения помещений.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Расчет естественного освещения помещений жилых и общественных зданий.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Нормирование и проектирование искусственного освещения.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Инсоляция и солнцезащита в зданиях.</w:t>
      </w:r>
    </w:p>
    <w:p>
      <w:pPr>
        <w:numPr>
          <w:ilvl w:val="0"/>
          <w:numId w:val="1"/>
        </w:numPr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Расчет инсоляции через строительные ограждающие конструкции. </w:t>
      </w:r>
    </w:p>
    <w:p>
      <w:pPr>
        <w:ind w:left="14" w:leftChars="0" w:right="-143" w:hanging="14" w:hangingChars="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ind w:right="-2"/>
        <w:jc w:val="center"/>
        <w:rPr>
          <w:rFonts w:hint="default" w:ascii="Times New Roman" w:hAnsi="Times New Roman" w:cs="Times New Roman"/>
          <w:b/>
          <w:i/>
          <w:color w:val="000000"/>
          <w:sz w:val="28"/>
          <w:szCs w:val="28"/>
        </w:rPr>
      </w:pPr>
    </w:p>
    <w:p>
      <w:pPr>
        <w:numPr>
          <w:ilvl w:val="0"/>
          <w:numId w:val="2"/>
        </w:numPr>
        <w:ind w:right="-2"/>
        <w:jc w:val="center"/>
        <w:rPr>
          <w:rFonts w:hint="default" w:ascii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8"/>
          <w:szCs w:val="28"/>
        </w:rPr>
        <w:t>Критерии и шкала оценивания результатов изучения дисциплины на  аттестации – зачет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22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3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/>
                <w:sz w:val="28"/>
                <w:szCs w:val="28"/>
              </w:rPr>
              <w:t>Критерии оценки ответа на зачете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/>
                <w:sz w:val="28"/>
                <w:szCs w:val="28"/>
              </w:rPr>
              <w:t>Шкала оценивания</w:t>
            </w:r>
            <w:r>
              <w:rPr>
                <w:rFonts w:hint="default" w:ascii="Times New Roman" w:hAnsi="Times New Roman" w:eastAsia="Calibri" w:cs="Times New Roman"/>
                <w:b/>
                <w:i w:val="0"/>
                <w:iCs/>
                <w:color w:val="000000"/>
                <w:sz w:val="28"/>
                <w:szCs w:val="28"/>
                <w:lang w:eastAsia="en-US"/>
              </w:rPr>
              <w:t xml:space="preserve"> в системе «не зачтено – зачтено»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3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jc w:val="both"/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</w:rPr>
              <w:t>Обучающийся показывает слабые знания лекционного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Неуверенно и логически непоследовательно излагает материал. Неправильно отвечает на дополнительные вопросы или затрудняется с ответом.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8"/>
                <w:szCs w:val="28"/>
                <w:lang w:eastAsia="en-US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3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Обучающийся показывает достаточные знания учебного и лекционного материала, но при ответе отсутствует должная связь между анализом, аргументацией и выводами. На дополнительные вопросы отвечает неуверенно, допускает погрешности. Обучающийся владеет практическими навыками, но чувствует себя неуверенно при ответе. В ответе не всегда присутствует логика, аргументы привлекаются недостаточно веские. Показывает недостаточно глубокие знания.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3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Обучающийся показывает достаточный уровень компетентности, знания лекционного материала, учебной и методической литературы, законодательства и практики его применения. Уверенно и профессионально, грамотным языком, ясно, четко и понятно излагает состояние и суть вопроса. Знает нормативно-законодательную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умеет анализировать практические ситуации, но допускает некоторые погрешности. Ответ построен логично, но при ответе допускает некоторые погрешности. Дополнительные вопросы не вызывают существенных затруднений.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3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Обучающийся показывает высокий уровень компетентности, знания программного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 излагает материал, аргументированно формулирует выводы. На дополнительные вопросы  отвечает кратко, аргументировано, уверенно, по существу.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</w:tbl>
    <w:p>
      <w:pPr>
        <w:pStyle w:val="2"/>
        <w:numPr>
          <w:ilvl w:val="0"/>
          <w:numId w:val="2"/>
        </w:numPr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Контрольная работа.</w:t>
      </w:r>
    </w:p>
    <w:p>
      <w:pPr>
        <w:pStyle w:val="2"/>
        <w:numPr>
          <w:ilvl w:val="0"/>
          <w:numId w:val="0"/>
        </w:numPr>
        <w:ind w:leftChars="0" w:right="0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Задание на расчет звукоизоляции ограждающих конструкций</w:t>
      </w:r>
    </w:p>
    <w:p>
      <w:pPr>
        <w:pStyle w:val="2"/>
        <w:numPr>
          <w:ilvl w:val="0"/>
          <w:numId w:val="0"/>
        </w:numPr>
        <w:ind w:leftChars="0" w:right="0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Требуется провести оценку конструктивного решения перегородки здания, которая изготовлена из керамзитобетона толщиной δ =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140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мм, плотностью γ = 1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Cs/>
          <w:sz w:val="28"/>
          <w:szCs w:val="28"/>
        </w:rPr>
        <w:t>00 кг/м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. Исходные данные для расчета представлены в таблице 4.1. 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 w:firstLine="720"/>
        <w:jc w:val="right"/>
        <w:rPr>
          <w:rFonts w:hint="default" w:ascii="Times New Roman" w:hAnsi="Times New Roman" w:cs="Times New Roman"/>
          <w:bCs/>
          <w:i/>
          <w:sz w:val="28"/>
          <w:szCs w:val="28"/>
        </w:rPr>
      </w:pPr>
      <w:r>
        <w:rPr>
          <w:rFonts w:hint="default" w:ascii="Times New Roman" w:hAnsi="Times New Roman" w:cs="Times New Roman"/>
          <w:bCs/>
          <w:i/>
          <w:sz w:val="28"/>
          <w:szCs w:val="28"/>
        </w:rPr>
        <w:t>Таблица 4.1</w:t>
      </w:r>
    </w:p>
    <w:p>
      <w:pPr>
        <w:pStyle w:val="2"/>
        <w:ind w:right="0" w:firstLine="72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Исходные данные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29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3500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Расположение перегородки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помещениями квартир и лестничной клеткой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помещениями квартир и лестничной клеткой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помещениями квартир и лестничной клеткой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номерами гостиницы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номерами гостиницы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Перегородка, отделяющая номера гостиницы от вестибюля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Перегородка, отделяющая номера гостиницы от вестибюля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музыкальным классом среднего учебного заведения и помещением общего пользования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 между музыкальными классами высшего учебного заведения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pct"/>
            <w:noWrap w:val="0"/>
            <w:vAlign w:val="center"/>
          </w:tcPr>
          <w:p>
            <w:pPr>
              <w:pStyle w:val="6"/>
              <w:widowControl/>
              <w:spacing w:line="240" w:lineRule="auto"/>
              <w:ind w:firstLine="0"/>
              <w:jc w:val="center"/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0" w:type="pct"/>
            <w:noWrap w:val="0"/>
            <w:vAlign w:val="top"/>
          </w:tcPr>
          <w:p>
            <w:pPr>
              <w:pStyle w:val="2"/>
              <w:ind w:right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Перегородка, отделяющая палату больницы от столовой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>
      <w:pPr>
        <w:pStyle w:val="2"/>
        <w:ind w:right="0" w:firstLine="720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Номер варианта соответствует последней цыфре шифра студента.</w:t>
      </w:r>
    </w:p>
    <w:p>
      <w:pPr>
        <w:pStyle w:val="2"/>
        <w:ind w:right="0" w:firstLine="720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pStyle w:val="2"/>
        <w:ind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Пример расчета четвертого раздела задания «Обоснование конструктивного решения перегородки здания, обеспечивающего снижение шума в помещении»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По условиям задания необходимо обосновать конструктивное решение перегородки, изготовленной из керамзитобетона толщиной δ = 100 мм, плотностью γ = 1400 кг/м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. Перегородка разделяет </w:t>
      </w:r>
      <w:r>
        <w:rPr>
          <w:rFonts w:hint="default" w:ascii="Times New Roman" w:hAnsi="Times New Roman" w:cs="Times New Roman"/>
          <w:sz w:val="28"/>
          <w:szCs w:val="28"/>
        </w:rPr>
        <w:t>помещения офисов различных фирм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административного здания.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1. Согласно СП 51.13330.2011 [28] нормируемым параметром внутренних ограждающих конструкций жилых и общественных зданий является индекс изоляции воздушного шума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</w:rPr>
        <w:t>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Конструкция перегородки будет обладать необходимой звукоизолирующей способностью, если величина индекса изоляции воздушного шума проектируемой конструкции будет больше или равна нормируемому значению индекса изоляции воздушного шума:</w:t>
      </w:r>
    </w:p>
    <w:p>
      <w:pPr>
        <w:tabs>
          <w:tab w:val="left" w:pos="7371"/>
        </w:tabs>
        <w:ind w:firstLine="2835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проект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≥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норм</w:t>
      </w:r>
      <w:r>
        <w:rPr>
          <w:rFonts w:hint="default" w:ascii="Times New Roman" w:hAnsi="Times New Roman" w:cs="Times New Roman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</w:rPr>
        <w:tab/>
      </w:r>
      <w:r>
        <w:rPr>
          <w:rFonts w:hint="default" w:ascii="Times New Roman" w:hAnsi="Times New Roman" w:cs="Times New Roman"/>
          <w:bCs/>
          <w:sz w:val="28"/>
          <w:szCs w:val="28"/>
        </w:rPr>
        <w:t>(4.5)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Для рассчитываемой перегородки, в соответствии с п. 22 таблицы С.1 приложения С,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норм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48 дБ.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2. Определяем индекс изоляции воздушного шума перегородкой двумя способами: </w:t>
      </w:r>
    </w:p>
    <w:p>
      <w:pPr>
        <w:pStyle w:val="2"/>
        <w:ind w:left="709" w:right="0" w:hanging="142"/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путем приближенного расчета индекса изоляции перегородки;</w:t>
      </w:r>
    </w:p>
    <w:p>
      <w:pPr>
        <w:pStyle w:val="2"/>
        <w:ind w:left="709" w:right="0" w:hanging="142"/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 путем сопоставления рассчитанной частотной характеристики перегородки с оценочной кривой.</w:t>
      </w:r>
    </w:p>
    <w:p>
      <w:pPr>
        <w:pStyle w:val="2"/>
        <w:ind w:right="0" w:firstLine="720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Приближенный расчет индекса изоляции перегородки</w:t>
      </w:r>
    </w:p>
    <w:p>
      <w:pPr>
        <w:pStyle w:val="2"/>
        <w:ind w:right="0" w:firstLine="709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1. Поверхностная плотность перегородки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γ</w:t>
      </w:r>
      <w:r>
        <w:rPr>
          <w:rFonts w:hint="default" w:ascii="Times New Roman" w:hAnsi="Times New Roman" w:cs="Times New Roman"/>
          <w:bCs/>
          <w:sz w:val="28"/>
          <w:szCs w:val="28"/>
        </w:rPr>
        <w:t>∙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1400∙0,1 = 140 кг/м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hint="default" w:ascii="Times New Roman" w:hAnsi="Times New Roman" w:cs="Times New Roman"/>
          <w:bCs/>
          <w:sz w:val="28"/>
          <w:szCs w:val="28"/>
        </w:rPr>
        <w:t>,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</w:rPr>
        <w:t>э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Cs/>
          <w:sz w:val="28"/>
          <w:szCs w:val="28"/>
        </w:rPr>
        <w:t>·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K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140·1,2 = 168 кг/м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hint="default" w:ascii="Times New Roman" w:hAnsi="Times New Roman" w:cs="Times New Roman"/>
          <w:bCs/>
          <w:sz w:val="28"/>
          <w:szCs w:val="28"/>
        </w:rPr>
        <w:t>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2. Индекс изоляции воздушного шума</w:t>
      </w:r>
    </w:p>
    <w:p>
      <w:pPr>
        <w:pStyle w:val="2"/>
        <w:ind w:right="0" w:firstLine="993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проект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37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25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</w:rPr>
        <w:t>э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+ 55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26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K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– 43 = 37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27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8"/>
          <w:szCs w:val="28"/>
        </w:rPr>
        <w:t>168 + 55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28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8"/>
          <w:szCs w:val="28"/>
        </w:rPr>
        <w:t>1,2 – 43 =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= 82,34 + 4,35 – 43 = 48,38 ≈ 49, дБ.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расчете, согласно таблице 4.2 принято К = 1,2.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bCs/>
          <w:i/>
          <w:sz w:val="28"/>
          <w:szCs w:val="28"/>
        </w:rPr>
      </w:pPr>
      <w:r>
        <w:rPr>
          <w:rFonts w:hint="default" w:ascii="Times New Roman" w:hAnsi="Times New Roman" w:cs="Times New Roman"/>
          <w:bCs/>
          <w:i/>
          <w:sz w:val="28"/>
          <w:szCs w:val="28"/>
        </w:rPr>
        <w:t>Таблица 4.2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Значения коэффициента К для различных строительных материалов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2082"/>
        <w:gridCol w:w="275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8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 материала</w:t>
            </w:r>
          </w:p>
        </w:tc>
        <w:tc>
          <w:tcPr>
            <w:tcW w:w="99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8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80"/>
                <w:sz w:val="28"/>
                <w:szCs w:val="28"/>
                <w:vertAlign w:val="superscript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Плотность, кг/м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8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4"/>
                <w:sz w:val="28"/>
                <w:szCs w:val="28"/>
              </w:rPr>
              <w:object>
                <v:shape id="_x0000_i1029" o:spt="75" type="#_x0000_t75" style="height:13.95pt;width:15pt;" o:ole="t" filled="f" o:preferrelative="t" stroked="f" coordsize="21600,21600">
                  <v:path/>
                  <v:fill on="f" alignshape="1" focussize="0,0"/>
                  <v:stroke on="f"/>
                  <v:imagedata r:id="rId13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Керамзитобетон</w:t>
            </w: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7,5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1500-1550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1300-1450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12,5- В 15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1700-1750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1500-1650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1350-1450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1250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Перлитобетон </w:t>
            </w: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7,5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1400-1450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1300-1350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1100-1200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950-1000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Аглопоритобетон </w:t>
            </w: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7,5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1300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1100-1200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950-1000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12,5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1500-1800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Шлакопемзобетон </w:t>
            </w:r>
          </w:p>
        </w:tc>
        <w:tc>
          <w:tcPr>
            <w:tcW w:w="99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7,5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1600-1700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12,5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1700-1800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</w:tbl>
    <w:p>
      <w:pPr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40"/>
        <w:jc w:val="righ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Окончание таблицы 4.2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2082"/>
        <w:gridCol w:w="275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Вид материала</w:t>
            </w:r>
          </w:p>
        </w:tc>
        <w:tc>
          <w:tcPr>
            <w:tcW w:w="9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Плотность, кг/м3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object>
                <v:shape id="_x0000_i1030" o:spt="75" type="#_x0000_t75" style="height:13.95pt;width:15pt;" o:ole="t" filled="f" o:preferrelative="t" stroked="f" coordsize="21600,21600">
                  <v:path/>
                  <v:fill on="f" alignshape="1" focussize="0,0"/>
                  <v:stroke on="f"/>
                  <v:imagedata r:id="rId13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Газобетон, пенобетон, газосиликат</w:t>
            </w: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5,0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Кладка из кирпича, пустотелых керамических блоков</w:t>
            </w: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1500-1600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1200-1400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Гипсобетон, гипс (в том числе поризованный или с легкими заполнителями)</w:t>
            </w:r>
          </w:p>
        </w:tc>
        <w:tc>
          <w:tcPr>
            <w:tcW w:w="999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 7,5</w:t>
            </w: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1300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pct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74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</w:tr>
    </w:tbl>
    <w:p>
      <w:pPr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ind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Расчет индекса изоляции путем сопоставления рассчитанной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частотной характеристики перегородки с оценочной кривой</w:t>
      </w:r>
    </w:p>
    <w:p>
      <w:pPr>
        <w:pStyle w:val="2"/>
        <w:ind w:right="0" w:firstLine="72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1. Находим частоту, соответствующую точке B, по таблице 4.3:</w:t>
      </w:r>
    </w:p>
    <w:p>
      <w:pPr>
        <w:ind w:firstLine="720"/>
        <w:jc w:val="righ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Таблица 4.3</w:t>
      </w:r>
    </w:p>
    <w:p>
      <w:pPr>
        <w:ind w:firstLine="72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Значения частоты 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en-US"/>
        </w:rPr>
        <w:t>f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B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для точек помещения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Плотность бетона 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</w:rPr>
              <w:object>
                <v:shape id="_x0000_i1031" o:spt="75" type="#_x0000_t75" style="height:13.95pt;width:11pt;" o:ole="t" filled="f" o:preferrelative="t" stroked="f" coordsize="21600,21600">
                  <v:path/>
                  <v:fill on="f" alignshape="1" focussize="0,0"/>
                  <v:stroke on="f"/>
                  <v:imagedata r:id="rId16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кг/м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18"/>
                <w:sz w:val="28"/>
                <w:szCs w:val="28"/>
              </w:rPr>
              <w:object>
                <v:shape id="_x0000_i1032" o:spt="75" type="#_x0000_t75" style="height:21pt;width:17pt;" o:ole="t" filled="f" o:preferrelative="t" stroked="f" coordsize="21600,21600">
                  <v:path/>
                  <v:fill on="f" alignshape="1" focussize="0,0"/>
                  <v:stroke on="f"/>
                  <v:imagedata r:id="rId18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, Гц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Symbol" w:char="F0B3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1800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3" o:spt="75" type="#_x0000_t75" style="height:16.7pt;width:50.25pt;" o:ole="t" filled="f" o:preferrelative="t" stroked="f" coordsize="21600,21600">
                  <v:path/>
                  <v:fill on="f" alignshape="1" focussize="0,0"/>
                  <v:stroke on="f"/>
                  <v:imagedata r:id="rId2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1600   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4" o:spt="75" type="#_x0000_t75" style="height:17.45pt;width:48.75pt;" o:ole="t" filled="f" o:preferrelative="t" stroked="f" coordsize="21600,21600">
                  <v:path/>
                  <v:fill on="f" alignshape="1" focussize="0,0"/>
                  <v:stroke on="f"/>
                  <v:imagedata r:id="rId22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1400  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5" o:spt="75" type="#_x0000_t75" style="height:19.2pt;width:48.75pt;" o:ole="t" filled="f" o:preferrelative="t" stroked="f" coordsize="21600,21600">
                  <v:path/>
                  <v:fill on="f" alignshape="1" focussize="0,0"/>
                  <v:stroke on="f"/>
                  <v:imagedata r:id="rId24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6" o:spt="75" type="#_x0000_t75" style="height:17.45pt;width:48.75pt;" o:ole="t" filled="f" o:preferrelative="t" stroked="f" coordsize="21600,21600">
                  <v:path/>
                  <v:fill on="f" alignshape="1" focussize="0,0"/>
                  <v:stroke on="f"/>
                  <v:imagedata r:id="rId26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1000  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7" o:spt="75" type="#_x0000_t75" style="height:17.45pt;width:48.75pt;" o:ole="t" filled="f" o:preferrelative="t" stroked="f" coordsize="21600,21600">
                  <v:path/>
                  <v:fill on="f" alignshape="1" focussize="0,0"/>
                  <v:stroke on="f"/>
                  <v:imagedata r:id="rId28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2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8" o:spt="75" type="#_x0000_t75" style="height:17.45pt;width:48.75pt;" o:ole="t" filled="f" o:preferrelative="t" stroked="f" coordsize="21600,21600">
                  <v:path/>
                  <v:fill on="f" alignshape="1" focussize="0,0"/>
                  <v:stroke on="f"/>
                  <v:imagedata r:id="rId3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2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position w:val="-6"/>
                <w:sz w:val="28"/>
                <w:szCs w:val="28"/>
              </w:rPr>
              <w:object>
                <v:shape id="_x0000_i1039" o:spt="75" type="#_x0000_t75" style="height:17.45pt;width:50.25pt;" o:ole="t" filled="f" o:preferrelative="t" stroked="f" coordsize="21600,21600">
                  <v:path/>
                  <v:fill on="f" alignshape="1" focussize="0,0"/>
                  <v:stroke on="f"/>
                  <v:imagedata r:id="rId32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9" r:id="rId3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42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Примечания: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- толщина ограждения, мм.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 Для   промежуточных  значений   </w:t>
            </w:r>
            <w:r>
              <w:rPr>
                <w:rFonts w:hint="default" w:ascii="Times New Roman" w:hAnsi="Times New Roman" w:cs="Times New Roman"/>
                <w:position w:val="-10"/>
                <w:sz w:val="28"/>
                <w:szCs w:val="28"/>
              </w:rPr>
              <w:object>
                <v:shape id="_x0000_i1040" o:spt="75" type="#_x0000_t75" style="height:13.95pt;width:11pt;" o:ole="t" filled="f" o:preferrelative="t" stroked="f" coordsize="21600,21600">
                  <v:path/>
                  <v:fill on="f" alignshape="1" focussize="0,0"/>
                  <v:stroke on="f"/>
                  <v:imagedata r:id="rId16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0" r:id="rId3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частота  </w:t>
            </w:r>
            <w:r>
              <w:rPr>
                <w:rFonts w:hint="default" w:ascii="Times New Roman" w:hAnsi="Times New Roman" w:cs="Times New Roman"/>
                <w:position w:val="-18"/>
                <w:sz w:val="28"/>
                <w:szCs w:val="28"/>
              </w:rPr>
              <w:object>
                <v:shape id="_x0000_i1041" o:spt="75" type="#_x0000_t75" style="height:21pt;width:17pt;" o:ole="t" filled="f" o:preferrelative="t" stroked="f" coordsize="21600,21600">
                  <v:path/>
                  <v:fill on="f" alignshape="1" focussize="0,0"/>
                  <v:stroke on="f"/>
                  <v:imagedata r:id="rId18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41" r:id="rId3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определяется интерполяцией.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f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B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33000/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33000/0,1 = 330 Гц.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Полученное значение частоты находится в третьоктавной полосе с границами 281 – 353 Гц. Для дальнейших расчетов используем среднегеометрическую частоту 315 Гц.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2. Определяем ординату точки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по формуле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  <w:lang w:val="en-US"/>
        </w:rPr>
        <w:t>B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20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42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5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</w:rPr>
        <w:t>э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– 12 = 20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43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7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8"/>
          <w:szCs w:val="28"/>
        </w:rPr>
        <w:t>168 – 12 = 44,51 – 12 = 32,51 ≈ 33 дБ.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3. Из точки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влево проводим горизонтальный отрезок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BA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, а вправо отрезок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BC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 наклоном 6 дБ на октаву до точки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 ординатой 65 дБ. Точка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находится за пределами нормируемого диапазона частот. Рассчитанная частотная характеристика приведена таблице 4.4.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 w:firstLine="720"/>
        <w:jc w:val="right"/>
        <w:rPr>
          <w:rFonts w:hint="default" w:ascii="Times New Roman" w:hAnsi="Times New Roman" w:cs="Times New Roman"/>
          <w:bCs/>
          <w:i/>
          <w:sz w:val="28"/>
          <w:szCs w:val="28"/>
        </w:rPr>
      </w:pPr>
    </w:p>
    <w:p>
      <w:pPr>
        <w:pStyle w:val="2"/>
        <w:ind w:right="0" w:firstLine="720"/>
        <w:jc w:val="right"/>
        <w:rPr>
          <w:rFonts w:hint="default" w:ascii="Times New Roman" w:hAnsi="Times New Roman" w:cs="Times New Roman"/>
          <w:bCs/>
          <w:i/>
          <w:sz w:val="28"/>
          <w:szCs w:val="28"/>
        </w:rPr>
      </w:pPr>
      <w:r>
        <w:rPr>
          <w:rFonts w:hint="default" w:ascii="Times New Roman" w:hAnsi="Times New Roman" w:cs="Times New Roman"/>
          <w:bCs/>
          <w:i/>
          <w:sz w:val="28"/>
          <w:szCs w:val="28"/>
        </w:rPr>
        <w:t>Таблица 4.4</w:t>
      </w:r>
    </w:p>
    <w:p>
      <w:pPr>
        <w:pStyle w:val="2"/>
        <w:ind w:right="0" w:firstLine="72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Нормируемые значения индекса изоляции воздушного шума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R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306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, Гц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306" w:type="pct"/>
            <w:noWrap w:val="0"/>
            <w:vAlign w:val="center"/>
          </w:tcPr>
          <w:p>
            <w:pPr>
              <w:pStyle w:val="2"/>
              <w:ind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, дБ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93" w:type="pct"/>
            <w:noWrap w:val="0"/>
            <w:textDirection w:val="btLr"/>
            <w:vAlign w:val="center"/>
          </w:tcPr>
          <w:p>
            <w:pPr>
              <w:pStyle w:val="2"/>
              <w:ind w:left="113" w:right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</w:tbl>
    <w:p>
      <w:pPr>
        <w:pStyle w:val="2"/>
        <w:ind w:right="0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4. Определяем индекс изоляции воздушного шума перегородкой.</w:t>
      </w:r>
    </w:p>
    <w:p>
      <w:pPr>
        <w:pStyle w:val="2"/>
        <w:ind w:right="0"/>
        <w:rPr>
          <w:rFonts w:hint="default"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9"/>
        <w:gridCol w:w="2057"/>
        <w:gridCol w:w="508"/>
        <w:gridCol w:w="502"/>
        <w:gridCol w:w="508"/>
        <w:gridCol w:w="508"/>
        <w:gridCol w:w="420"/>
        <w:gridCol w:w="498"/>
        <w:gridCol w:w="506"/>
        <w:gridCol w:w="498"/>
        <w:gridCol w:w="508"/>
        <w:gridCol w:w="424"/>
        <w:gridCol w:w="510"/>
        <w:gridCol w:w="510"/>
        <w:gridCol w:w="504"/>
        <w:gridCol w:w="498"/>
        <w:gridCol w:w="504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2" w:hRule="atLeast"/>
        </w:trPr>
        <w:tc>
          <w:tcPr>
            <w:tcW w:w="204" w:type="pct"/>
            <w:vMerge w:val="restar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796" w:type="pct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Среднегеометрическая частота третьоктавной полосы, Гц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48" w:hRule="atLeast"/>
        </w:trPr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4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7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7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4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2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44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2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7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06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8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8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45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42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5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6" w:type="pct"/>
            <w:noWrap w:val="0"/>
            <w:textDirection w:val="btLr"/>
            <w:vAlign w:val="center"/>
          </w:tcPr>
          <w:p>
            <w:pPr>
              <w:ind w:lef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9" w:hRule="atLeast"/>
        </w:trPr>
        <w:tc>
          <w:tcPr>
            <w:tcW w:w="204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Расчетная частотная характеристика,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6" w:hRule="atLeast"/>
        </w:trPr>
        <w:tc>
          <w:tcPr>
            <w:tcW w:w="204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Оценочная кривая, дБ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5" w:hRule="atLeast"/>
        </w:trPr>
        <w:tc>
          <w:tcPr>
            <w:tcW w:w="204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Неблагоприятные отклонения, дБ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38" w:hRule="atLeast"/>
        </w:trPr>
        <w:tc>
          <w:tcPr>
            <w:tcW w:w="204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Оценочная кривая, смещенная вниз на 10 дБ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2" w:hRule="atLeast"/>
        </w:trPr>
        <w:tc>
          <w:tcPr>
            <w:tcW w:w="204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Неблагоприятные отклонения от смещенной оценочной кривой, дБ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1" w:hRule="atLeast"/>
        </w:trPr>
        <w:tc>
          <w:tcPr>
            <w:tcW w:w="204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Индекс изоляции воздушного шума,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w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1677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8" w:type="pct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величину индекса изоляции воздушного шума принимаем значение смещенной оценочной кривой в третьоктавной полосе 500 Гц, т.е. R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sz w:val="28"/>
          <w:szCs w:val="28"/>
        </w:rPr>
        <w:t xml:space="preserve"> = 42 дБ.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Результаты расчета приведены на рис. 4.1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5670"/>
        </w:tabs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4266565" cy="3429000"/>
            <wp:effectExtent l="0" t="0" r="635" b="0"/>
            <wp:docPr id="1" name="Изображение 22" descr="Иллюстрация расчета индекса изоляции воздушного ш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2" descr="Иллюстрация расчета индекса изоляции воздушного шума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Рис. 4.1 Иллюстрация расчета индекса изоляции воздушного шума: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– расчетная частотная характеристика; 2 – оценочная кривая;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– оценочная кривая, смещенная вниз на 10 дБ.</w:t>
      </w:r>
    </w:p>
    <w:p>
      <w:pPr>
        <w:ind w:firstLine="72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tabs>
          <w:tab w:val="left" w:pos="567"/>
        </w:tabs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соответствии с требованиями СП 51.13330.2011 [28] данная конструкция  перегородки не удовлетворяет нормативным требованиям. Требуется изменить конструкцию перегородки – применить многослойную конструкцию. С целью подбора параметров звукоизолирующей системы определим величину требуемого индекса</w:t>
      </w:r>
      <w:r>
        <w:rPr>
          <w:rFonts w:hint="default"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дополнительной изоляции воздушного шума:</w:t>
      </w:r>
    </w:p>
    <w:p>
      <w:pPr>
        <w:pStyle w:val="2"/>
        <w:tabs>
          <w:tab w:val="left" w:pos="567"/>
        </w:tabs>
        <w:ind w:right="0" w:firstLine="567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∆R</w:t>
      </w:r>
      <w:r>
        <w:rPr>
          <w:rFonts w:hint="default" w:ascii="Times New Roman" w:hAnsi="Times New Roman" w:cs="Times New Roman"/>
          <w:bCs/>
          <w:i/>
          <w:sz w:val="28"/>
          <w:szCs w:val="28"/>
          <w:vertAlign w:val="subscript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R</w:t>
      </w:r>
      <w:r>
        <w:rPr>
          <w:rFonts w:hint="default" w:ascii="Times New Roman" w:hAnsi="Times New Roman" w:cs="Times New Roman"/>
          <w:bCs/>
          <w:i/>
          <w:sz w:val="28"/>
          <w:szCs w:val="28"/>
          <w:vertAlign w:val="subscript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</w:rPr>
        <w:t>норм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– R</w:t>
      </w:r>
      <w:r>
        <w:rPr>
          <w:rFonts w:hint="default" w:ascii="Times New Roman" w:hAnsi="Times New Roman" w:cs="Times New Roman"/>
          <w:bCs/>
          <w:i/>
          <w:sz w:val="28"/>
          <w:szCs w:val="28"/>
          <w:vertAlign w:val="subscript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bscript"/>
        </w:rPr>
        <w:t>дейст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50 – 48 = 2, дБ.</w:t>
      </w:r>
    </w:p>
    <w:p>
      <w:pPr>
        <w:pStyle w:val="2"/>
        <w:tabs>
          <w:tab w:val="left" w:pos="567"/>
        </w:tabs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5. Выбираем тип многослойной конструкции.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Основываясь на заявленных фирмой-изготовителем характеристиках, выбираем звукоизолирующую панельную систему ЗИПС-Вектор (приложение Т).</w:t>
      </w:r>
    </w:p>
    <w:p>
      <w:pPr>
        <w:pStyle w:val="2"/>
        <w:ind w:righ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Общая величина звукоизоляции перегородки:</w:t>
      </w:r>
    </w:p>
    <w:p>
      <w:pPr>
        <w:pStyle w:val="2"/>
        <w:ind w:right="0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дейст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w</w:t>
      </w:r>
      <w:r>
        <w:rPr>
          <w:rFonts w:hint="default" w:ascii="Times New Roman" w:hAnsi="Times New Roman" w:cs="Times New Roman"/>
          <w:bCs/>
          <w:sz w:val="28"/>
          <w:szCs w:val="28"/>
          <w:vertAlign w:val="superscript"/>
        </w:rPr>
        <w:t>допол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= 42 + 11 = 53 дБ.</w:t>
      </w:r>
    </w:p>
    <w:p>
      <w:pPr>
        <w:pStyle w:val="2"/>
        <w:ind w:right="0" w:firstLine="567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 соответствии с требованиями СП 51.13330.2011 [28] данная конструкция многослойная конструкция перегородки удовлетворяет нормативным требованиям.</w:t>
      </w:r>
    </w:p>
    <w:p>
      <w:pPr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Строительная физика: методические указания к контрольной работе для студентов-заочников по дисциплине «Строительная физика»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сост.: Ю.С. Вытчиков, Т.Е. Власова, Ю.Н. Зотов, А.Н. Паршин; Самарск. гос. арх.-строит. ун-т. - Самара, 2009. - 90 с.</w:t>
      </w:r>
    </w:p>
    <w:p>
      <w:pPr>
        <w:numPr>
          <w:ilvl w:val="0"/>
          <w:numId w:val="3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Физика среды и ограждающих конструкций: учебное пособие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Ю.С. Вытчиков, Ю.Н. Зотов, М.Е. Сапарев. - Самара: АСИ СамГТУ, 2016. - Текстовое (символьное) электронное издание (7,2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Mb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). </w:t>
      </w:r>
      <w:bookmarkStart w:id="0" w:name="_GoBack"/>
      <w:bookmarkEnd w:id="0"/>
    </w:p>
    <w:sectPr>
      <w:pgSz w:w="11906" w:h="16838"/>
      <w:pgMar w:top="1134" w:right="567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34EA"/>
    <w:multiLevelType w:val="multilevel"/>
    <w:tmpl w:val="489134EA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DB72F1D"/>
    <w:multiLevelType w:val="singleLevel"/>
    <w:tmpl w:val="4DB72F1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61B8887C"/>
    <w:multiLevelType w:val="singleLevel"/>
    <w:tmpl w:val="61B888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4838"/>
    <w:rsid w:val="1CAD24CB"/>
    <w:rsid w:val="5EE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0" w:right="255" w:firstLine="0"/>
      <w:jc w:val="both"/>
    </w:pPr>
    <w:rPr>
      <w:sz w:val="28"/>
    </w:rPr>
  </w:style>
  <w:style w:type="paragraph" w:customStyle="1" w:styleId="5">
    <w:name w:val="Заголовок таблицы"/>
    <w:basedOn w:val="1"/>
    <w:qFormat/>
    <w:uiPriority w:val="0"/>
    <w:pPr>
      <w:suppressLineNumbers/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6">
    <w:name w:val="Style5"/>
    <w:basedOn w:val="1"/>
    <w:qFormat/>
    <w:uiPriority w:val="0"/>
    <w:pPr>
      <w:widowControl w:val="0"/>
      <w:autoSpaceDE w:val="0"/>
      <w:spacing w:line="413" w:lineRule="exact"/>
      <w:ind w:left="0" w:right="0" w:firstLine="523"/>
      <w:jc w:val="both"/>
    </w:pPr>
  </w:style>
  <w:style w:type="character" w:customStyle="1" w:styleId="7">
    <w:name w:val="Font Style73"/>
    <w:uiPriority w:val="0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9" Type="http://schemas.openxmlformats.org/officeDocument/2006/relationships/image" Target="media/image17.jpeg"/><Relationship Id="rId38" Type="http://schemas.openxmlformats.org/officeDocument/2006/relationships/image" Target="media/image16.wmf"/><Relationship Id="rId37" Type="http://schemas.openxmlformats.org/officeDocument/2006/relationships/oleObject" Target="embeddings/oleObject19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8.bin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2020-04-15T12:53:00Z</dcterms:created>
  <dc:creator>я</dc:creator>
  <cp:lastModifiedBy>я</cp:lastModifiedBy>
  <dcterms:modified xsi:type="dcterms:W3CDTF">2020-04-15T14:22:06Z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